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p>
      <w:pPr>
        <w:jc w:val="center"/>
        <w:rPr>
          <w:rFonts w:hint="eastAsia" w:ascii="宋体" w:hAnsi="宋体" w:eastAsia="宋体" w:cs="宋体"/>
          <w:b/>
          <w:bCs/>
          <w:sz w:val="28"/>
          <w:szCs w:val="28"/>
          <w:lang w:val="en-US" w:eastAsia="zh-CN"/>
        </w:rPr>
      </w:pPr>
      <w:bookmarkStart w:id="0" w:name="_GoBack"/>
      <w:r>
        <w:rPr>
          <w:rFonts w:hint="eastAsia" w:ascii="宋体" w:hAnsi="宋体" w:eastAsia="宋体" w:cs="宋体"/>
          <w:b/>
          <w:bCs/>
          <w:sz w:val="28"/>
          <w:szCs w:val="28"/>
          <w:lang w:val="en-US" w:eastAsia="zh-CN"/>
        </w:rPr>
        <w:t>拟申请立项的推荐性国家标准</w:t>
      </w:r>
      <w:r>
        <w:rPr>
          <w:rFonts w:hint="eastAsia" w:ascii="宋体" w:hAnsi="宋体" w:cs="宋体"/>
          <w:b/>
          <w:bCs/>
          <w:sz w:val="28"/>
          <w:szCs w:val="28"/>
          <w:lang w:val="en-US" w:eastAsia="zh-CN"/>
        </w:rPr>
        <w:t>项目</w:t>
      </w:r>
      <w:r>
        <w:rPr>
          <w:rFonts w:hint="eastAsia" w:ascii="宋体" w:hAnsi="宋体" w:eastAsia="宋体" w:cs="宋体"/>
          <w:b/>
          <w:bCs/>
          <w:sz w:val="28"/>
          <w:szCs w:val="28"/>
          <w:lang w:val="en-US" w:eastAsia="zh-CN"/>
        </w:rPr>
        <w:t>信息表</w:t>
      </w:r>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3344"/>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66" w:type="dxa"/>
            <w:vAlign w:val="center"/>
          </w:tcPr>
          <w:p>
            <w:pPr>
              <w:spacing w:line="240" w:lineRule="auto"/>
              <w:ind w:firstLine="0"/>
              <w:jc w:val="both"/>
              <w:rPr>
                <w:rFonts w:hint="default" w:ascii="宋体" w:hAnsi="宋体" w:eastAsia="宋体" w:cs="宋体"/>
                <w:b/>
                <w:bCs/>
                <w:kern w:val="0"/>
                <w:sz w:val="24"/>
                <w:szCs w:val="24"/>
                <w:vertAlign w:val="baseline"/>
                <w:lang w:val="en-US" w:eastAsia="zh-CN" w:bidi="ar"/>
              </w:rPr>
            </w:pPr>
            <w:r>
              <w:rPr>
                <w:rFonts w:hint="eastAsia" w:ascii="宋体" w:hAnsi="宋体" w:eastAsia="宋体" w:cs="宋体"/>
                <w:b/>
                <w:bCs/>
                <w:kern w:val="0"/>
                <w:sz w:val="24"/>
                <w:szCs w:val="24"/>
                <w:vertAlign w:val="baseline"/>
                <w:lang w:val="en-US" w:eastAsia="zh-CN" w:bidi="ar"/>
              </w:rPr>
              <w:t>序号</w:t>
            </w:r>
          </w:p>
        </w:tc>
        <w:tc>
          <w:tcPr>
            <w:tcW w:w="3344" w:type="dxa"/>
            <w:vAlign w:val="center"/>
          </w:tcPr>
          <w:p>
            <w:pPr>
              <w:spacing w:line="240" w:lineRule="auto"/>
              <w:ind w:firstLine="0"/>
              <w:jc w:val="center"/>
              <w:rPr>
                <w:rFonts w:hint="default" w:ascii="宋体" w:hAnsi="宋体" w:eastAsia="宋体" w:cs="宋体"/>
                <w:b/>
                <w:bCs/>
                <w:kern w:val="0"/>
                <w:sz w:val="24"/>
                <w:szCs w:val="24"/>
                <w:vertAlign w:val="baseline"/>
                <w:lang w:val="en-US" w:eastAsia="zh-CN" w:bidi="ar"/>
              </w:rPr>
            </w:pPr>
            <w:r>
              <w:rPr>
                <w:rFonts w:hint="eastAsia" w:ascii="宋体" w:hAnsi="宋体" w:eastAsia="宋体" w:cs="宋体"/>
                <w:b/>
                <w:bCs/>
                <w:kern w:val="0"/>
                <w:sz w:val="24"/>
                <w:szCs w:val="24"/>
                <w:vertAlign w:val="baseline"/>
                <w:lang w:val="en-US" w:eastAsia="zh-CN" w:bidi="ar"/>
              </w:rPr>
              <w:t>拟</w:t>
            </w:r>
            <w:r>
              <w:rPr>
                <w:rFonts w:hint="eastAsia" w:ascii="宋体" w:hAnsi="宋体" w:cs="宋体"/>
                <w:b/>
                <w:bCs/>
                <w:kern w:val="0"/>
                <w:sz w:val="24"/>
                <w:szCs w:val="24"/>
                <w:vertAlign w:val="baseline"/>
                <w:lang w:val="en-US" w:eastAsia="zh-CN" w:bidi="ar"/>
              </w:rPr>
              <w:t>申请</w:t>
            </w:r>
            <w:r>
              <w:rPr>
                <w:rFonts w:hint="eastAsia" w:ascii="宋体" w:hAnsi="宋体" w:eastAsia="宋体" w:cs="宋体"/>
                <w:b/>
                <w:bCs/>
                <w:kern w:val="0"/>
                <w:sz w:val="24"/>
                <w:szCs w:val="24"/>
                <w:vertAlign w:val="baseline"/>
                <w:lang w:val="en-US" w:eastAsia="zh-CN" w:bidi="ar"/>
              </w:rPr>
              <w:t>立项项目名称</w:t>
            </w:r>
          </w:p>
        </w:tc>
        <w:tc>
          <w:tcPr>
            <w:tcW w:w="5531" w:type="dxa"/>
            <w:vAlign w:val="center"/>
          </w:tcPr>
          <w:p>
            <w:pPr>
              <w:spacing w:line="240" w:lineRule="auto"/>
              <w:ind w:firstLine="0"/>
              <w:jc w:val="center"/>
              <w:rPr>
                <w:rFonts w:hint="default" w:ascii="宋体" w:hAnsi="宋体" w:eastAsia="宋体" w:cs="宋体"/>
                <w:b/>
                <w:bCs/>
                <w:kern w:val="0"/>
                <w:sz w:val="24"/>
                <w:szCs w:val="24"/>
                <w:vertAlign w:val="baseline"/>
                <w:lang w:val="en-US" w:eastAsia="zh-CN" w:bidi="ar"/>
              </w:rPr>
            </w:pPr>
            <w:r>
              <w:rPr>
                <w:rFonts w:hint="eastAsia" w:ascii="宋体" w:hAnsi="宋体" w:eastAsia="宋体" w:cs="宋体"/>
                <w:b/>
                <w:bCs/>
                <w:kern w:val="0"/>
                <w:sz w:val="24"/>
                <w:szCs w:val="24"/>
                <w:vertAlign w:val="baseline"/>
                <w:lang w:val="en-US" w:eastAsia="zh-CN" w:bidi="ar"/>
              </w:rPr>
              <w:t>相关</w:t>
            </w:r>
            <w:r>
              <w:rPr>
                <w:rFonts w:hint="eastAsia" w:ascii="宋体" w:hAnsi="宋体" w:cs="宋体"/>
                <w:b/>
                <w:bCs/>
                <w:kern w:val="0"/>
                <w:sz w:val="24"/>
                <w:szCs w:val="24"/>
                <w:vertAlign w:val="baseline"/>
                <w:lang w:val="en-US" w:eastAsia="zh-CN" w:bidi="ar"/>
              </w:rPr>
              <w:t>行业</w:t>
            </w:r>
            <w:r>
              <w:rPr>
                <w:rFonts w:hint="eastAsia" w:ascii="宋体" w:hAnsi="宋体" w:eastAsia="宋体" w:cs="宋体"/>
                <w:b/>
                <w:bCs/>
                <w:kern w:val="0"/>
                <w:sz w:val="24"/>
                <w:szCs w:val="24"/>
                <w:vertAlign w:val="baseline"/>
                <w:lang w:val="en-US" w:eastAsia="zh-CN"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866" w:type="dxa"/>
            <w:vAlign w:val="center"/>
          </w:tcPr>
          <w:p>
            <w:pPr>
              <w:spacing w:line="240" w:lineRule="auto"/>
              <w:ind w:firstLine="0"/>
              <w:jc w:val="center"/>
              <w:rPr>
                <w:rFonts w:hint="default" w:ascii="宋体" w:hAnsi="宋体" w:eastAsia="宋体" w:cs="宋体"/>
                <w:kern w:val="0"/>
                <w:sz w:val="24"/>
                <w:szCs w:val="24"/>
                <w:vertAlign w:val="baseline"/>
                <w:lang w:val="en-US" w:eastAsia="zh-CN" w:bidi="ar"/>
              </w:rPr>
            </w:pPr>
            <w:r>
              <w:rPr>
                <w:rFonts w:hint="eastAsia" w:ascii="宋体" w:hAnsi="宋体" w:eastAsia="宋体" w:cs="宋体"/>
                <w:kern w:val="0"/>
                <w:sz w:val="24"/>
                <w:szCs w:val="24"/>
                <w:vertAlign w:val="baseline"/>
                <w:lang w:val="en-US" w:eastAsia="zh-CN" w:bidi="ar"/>
              </w:rPr>
              <w:t>1</w:t>
            </w:r>
          </w:p>
        </w:tc>
        <w:tc>
          <w:tcPr>
            <w:tcW w:w="3344" w:type="dxa"/>
            <w:vAlign w:val="center"/>
          </w:tcPr>
          <w:p>
            <w:pPr>
              <w:spacing w:line="240" w:lineRule="auto"/>
              <w:ind w:firstLine="0"/>
              <w:jc w:val="left"/>
              <w:rPr>
                <w:rFonts w:hint="eastAsia" w:ascii="宋体" w:hAnsi="宋体" w:eastAsia="宋体" w:cs="宋体"/>
                <w:kern w:val="0"/>
                <w:sz w:val="24"/>
                <w:szCs w:val="24"/>
                <w:vertAlign w:val="baseline"/>
                <w:lang w:val="en-US" w:eastAsia="zh-CN" w:bidi="ar"/>
              </w:rPr>
            </w:pPr>
            <w:r>
              <w:rPr>
                <w:rFonts w:hint="eastAsia"/>
                <w:sz w:val="24"/>
                <w:szCs w:val="24"/>
                <w:lang w:val="en-US" w:eastAsia="zh-CN"/>
              </w:rPr>
              <w:t>《制药装备 生物反应器通用技术要求》</w:t>
            </w:r>
          </w:p>
        </w:tc>
        <w:tc>
          <w:tcPr>
            <w:tcW w:w="5531" w:type="dxa"/>
            <w:vAlign w:val="center"/>
          </w:tcPr>
          <w:p>
            <w:pPr>
              <w:spacing w:line="240" w:lineRule="auto"/>
              <w:ind w:firstLine="0"/>
              <w:jc w:val="both"/>
              <w:rPr>
                <w:rFonts w:hint="eastAsia"/>
                <w:sz w:val="24"/>
                <w:szCs w:val="24"/>
                <w:lang w:val="en-US" w:eastAsia="zh-CN"/>
              </w:rPr>
            </w:pPr>
            <w:r>
              <w:rPr>
                <w:rFonts w:hint="eastAsia"/>
                <w:sz w:val="24"/>
                <w:szCs w:val="24"/>
                <w:lang w:val="en-US" w:eastAsia="zh-CN"/>
              </w:rPr>
              <w:t>JB/T 20143-2012《非鼓泡传氧生物培养器》</w:t>
            </w:r>
          </w:p>
          <w:p>
            <w:pPr>
              <w:spacing w:line="240" w:lineRule="auto"/>
              <w:ind w:firstLine="0"/>
              <w:jc w:val="both"/>
              <w:rPr>
                <w:rFonts w:hint="eastAsia" w:ascii="宋体" w:hAnsi="宋体" w:eastAsia="宋体" w:cs="宋体"/>
                <w:kern w:val="0"/>
                <w:sz w:val="24"/>
                <w:szCs w:val="24"/>
                <w:vertAlign w:val="baseline"/>
                <w:lang w:val="en-US" w:eastAsia="zh-CN" w:bidi="ar"/>
              </w:rPr>
            </w:pPr>
            <w:r>
              <w:rPr>
                <w:rFonts w:hint="eastAsia"/>
                <w:sz w:val="24"/>
                <w:szCs w:val="24"/>
                <w:lang w:val="en-US" w:eastAsia="zh-CN"/>
              </w:rPr>
              <w:t>JB/T 20137-2011《机械搅拌式动物细胞培养罐》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866" w:type="dxa"/>
            <w:vAlign w:val="center"/>
          </w:tcPr>
          <w:p>
            <w:pPr>
              <w:spacing w:line="240" w:lineRule="auto"/>
              <w:ind w:firstLine="0"/>
              <w:jc w:val="center"/>
              <w:rPr>
                <w:rFonts w:hint="default" w:ascii="宋体" w:hAnsi="宋体" w:eastAsia="宋体" w:cs="宋体"/>
                <w:kern w:val="0"/>
                <w:sz w:val="24"/>
                <w:szCs w:val="24"/>
                <w:vertAlign w:val="baseline"/>
                <w:lang w:val="en-US" w:eastAsia="zh-CN" w:bidi="ar"/>
              </w:rPr>
            </w:pPr>
            <w:r>
              <w:rPr>
                <w:rFonts w:hint="eastAsia" w:ascii="宋体" w:hAnsi="宋体" w:eastAsia="宋体" w:cs="宋体"/>
                <w:kern w:val="0"/>
                <w:sz w:val="24"/>
                <w:szCs w:val="24"/>
                <w:vertAlign w:val="baseline"/>
                <w:lang w:val="en-US" w:eastAsia="zh-CN" w:bidi="ar"/>
              </w:rPr>
              <w:t>2</w:t>
            </w:r>
          </w:p>
        </w:tc>
        <w:tc>
          <w:tcPr>
            <w:tcW w:w="3344" w:type="dxa"/>
            <w:vAlign w:val="center"/>
          </w:tcPr>
          <w:p>
            <w:pPr>
              <w:spacing w:line="240" w:lineRule="auto"/>
              <w:ind w:firstLine="0"/>
              <w:jc w:val="left"/>
              <w:rPr>
                <w:rFonts w:hint="eastAsia" w:ascii="宋体" w:hAnsi="宋体" w:eastAsia="宋体" w:cs="宋体"/>
                <w:kern w:val="0"/>
                <w:sz w:val="24"/>
                <w:szCs w:val="24"/>
                <w:vertAlign w:val="baseline"/>
                <w:lang w:val="en-US" w:eastAsia="zh-CN" w:bidi="ar"/>
              </w:rPr>
            </w:pPr>
            <w:r>
              <w:rPr>
                <w:rFonts w:hint="eastAsia"/>
                <w:sz w:val="24"/>
                <w:szCs w:val="24"/>
                <w:lang w:val="en-US" w:eastAsia="zh-CN"/>
              </w:rPr>
              <w:t>《制药装备 真空冷冻干燥机技术规范》</w:t>
            </w:r>
          </w:p>
        </w:tc>
        <w:tc>
          <w:tcPr>
            <w:tcW w:w="5531" w:type="dxa"/>
            <w:vAlign w:val="center"/>
          </w:tcPr>
          <w:p>
            <w:pPr>
              <w:spacing w:line="240" w:lineRule="auto"/>
              <w:ind w:firstLine="0"/>
              <w:jc w:val="both"/>
              <w:rPr>
                <w:rFonts w:hint="eastAsia"/>
                <w:sz w:val="24"/>
                <w:szCs w:val="24"/>
                <w:lang w:val="en-US" w:eastAsia="zh-CN"/>
              </w:rPr>
            </w:pPr>
            <w:r>
              <w:rPr>
                <w:rFonts w:hint="eastAsia"/>
                <w:sz w:val="24"/>
                <w:szCs w:val="24"/>
                <w:lang w:val="en-US" w:eastAsia="zh-CN"/>
              </w:rPr>
              <w:t>JB/T 20032-2012《药用真空冷冻干燥机》</w:t>
            </w:r>
          </w:p>
          <w:p>
            <w:pPr>
              <w:spacing w:line="240" w:lineRule="auto"/>
              <w:ind w:firstLine="0"/>
              <w:jc w:val="both"/>
              <w:rPr>
                <w:rFonts w:hint="eastAsia"/>
                <w:sz w:val="24"/>
                <w:szCs w:val="24"/>
                <w:lang w:val="en-US" w:eastAsia="zh-CN"/>
              </w:rPr>
            </w:pPr>
            <w:r>
              <w:rPr>
                <w:rFonts w:hint="default"/>
                <w:sz w:val="24"/>
                <w:szCs w:val="24"/>
                <w:lang w:val="en-US" w:eastAsia="zh-CN"/>
              </w:rPr>
              <w:t>JB/T</w:t>
            </w:r>
            <w:r>
              <w:rPr>
                <w:rFonts w:hint="eastAsia"/>
                <w:sz w:val="24"/>
                <w:szCs w:val="24"/>
                <w:lang w:val="en-US" w:eastAsia="zh-CN"/>
              </w:rPr>
              <w:t xml:space="preserve"> </w:t>
            </w:r>
            <w:r>
              <w:rPr>
                <w:rFonts w:hint="default"/>
                <w:sz w:val="24"/>
                <w:szCs w:val="24"/>
                <w:lang w:val="en-US" w:eastAsia="zh-CN"/>
              </w:rPr>
              <w:t>2014</w:t>
            </w:r>
            <w:r>
              <w:rPr>
                <w:rFonts w:hint="eastAsia"/>
                <w:sz w:val="24"/>
                <w:szCs w:val="24"/>
                <w:lang w:val="en-US" w:eastAsia="zh-CN"/>
              </w:rPr>
              <w:t>6</w:t>
            </w:r>
            <w:r>
              <w:rPr>
                <w:rFonts w:hint="default"/>
                <w:sz w:val="24"/>
                <w:szCs w:val="24"/>
                <w:lang w:val="en-US" w:eastAsia="zh-CN"/>
              </w:rPr>
              <w:t>-2012</w:t>
            </w:r>
            <w:r>
              <w:rPr>
                <w:rFonts w:hint="eastAsia"/>
                <w:sz w:val="24"/>
                <w:szCs w:val="24"/>
                <w:lang w:val="en-US" w:eastAsia="zh-CN"/>
              </w:rPr>
              <w:t>《药用液氮制冷真空冷冻干燥机》</w:t>
            </w:r>
          </w:p>
          <w:p>
            <w:pPr>
              <w:spacing w:line="240" w:lineRule="auto"/>
              <w:ind w:firstLine="0"/>
              <w:jc w:val="both"/>
              <w:rPr>
                <w:rFonts w:hint="eastAsia"/>
                <w:sz w:val="24"/>
                <w:szCs w:val="24"/>
                <w:lang w:val="en-US" w:eastAsia="zh-CN"/>
              </w:rPr>
            </w:pPr>
            <w:r>
              <w:rPr>
                <w:rFonts w:hint="eastAsia"/>
                <w:sz w:val="24"/>
                <w:szCs w:val="24"/>
                <w:lang w:val="en-US" w:eastAsia="zh-CN"/>
              </w:rPr>
              <w:t>JB/T 20144-2012《</w:t>
            </w:r>
            <w:r>
              <w:rPr>
                <w:rFonts w:hint="default"/>
                <w:sz w:val="24"/>
                <w:szCs w:val="24"/>
                <w:lang w:val="en-US" w:eastAsia="zh-CN"/>
              </w:rPr>
              <w:t>药用冻干机 在线取样机械装置</w:t>
            </w:r>
            <w:r>
              <w:rPr>
                <w:rFonts w:hint="eastAsia"/>
                <w:sz w:val="24"/>
                <w:szCs w:val="24"/>
                <w:lang w:val="en-US" w:eastAsia="zh-CN"/>
              </w:rPr>
              <w:t>》</w:t>
            </w:r>
          </w:p>
          <w:p>
            <w:pPr>
              <w:spacing w:line="240" w:lineRule="auto"/>
              <w:ind w:firstLine="0"/>
              <w:jc w:val="both"/>
              <w:rPr>
                <w:rFonts w:hint="eastAsia" w:ascii="宋体" w:hAnsi="宋体" w:eastAsia="宋体" w:cs="宋体"/>
                <w:kern w:val="0"/>
                <w:sz w:val="24"/>
                <w:szCs w:val="24"/>
                <w:vertAlign w:val="baseline"/>
                <w:lang w:val="en-US" w:eastAsia="zh-CN" w:bidi="ar"/>
              </w:rPr>
            </w:pPr>
            <w:r>
              <w:rPr>
                <w:rFonts w:hint="default"/>
                <w:sz w:val="24"/>
                <w:szCs w:val="24"/>
                <w:lang w:val="en-US" w:eastAsia="zh-CN"/>
              </w:rPr>
              <w:t>JB/T</w:t>
            </w:r>
            <w:r>
              <w:rPr>
                <w:rFonts w:hint="eastAsia"/>
                <w:sz w:val="24"/>
                <w:szCs w:val="24"/>
                <w:lang w:val="en-US" w:eastAsia="zh-CN"/>
              </w:rPr>
              <w:t xml:space="preserve"> </w:t>
            </w:r>
            <w:r>
              <w:rPr>
                <w:rFonts w:hint="default"/>
                <w:sz w:val="24"/>
                <w:szCs w:val="24"/>
                <w:lang w:val="en-US" w:eastAsia="zh-CN"/>
              </w:rPr>
              <w:t>2014</w:t>
            </w:r>
            <w:r>
              <w:rPr>
                <w:rFonts w:hint="eastAsia"/>
                <w:sz w:val="24"/>
                <w:szCs w:val="24"/>
                <w:lang w:val="en-US" w:eastAsia="zh-CN"/>
              </w:rPr>
              <w:t>5</w:t>
            </w:r>
            <w:r>
              <w:rPr>
                <w:rFonts w:hint="default"/>
                <w:sz w:val="24"/>
                <w:szCs w:val="24"/>
                <w:lang w:val="en-US" w:eastAsia="zh-CN"/>
              </w:rPr>
              <w:t>-2012</w:t>
            </w:r>
            <w:r>
              <w:rPr>
                <w:rFonts w:hint="eastAsia"/>
                <w:sz w:val="24"/>
                <w:szCs w:val="24"/>
                <w:lang w:val="en-US" w:eastAsia="zh-CN"/>
              </w:rPr>
              <w:t xml:space="preserve"> 《药用冻干机 无框式自动进出料装置》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866" w:type="dxa"/>
            <w:vAlign w:val="center"/>
          </w:tcPr>
          <w:p>
            <w:pPr>
              <w:spacing w:line="240" w:lineRule="auto"/>
              <w:ind w:firstLine="0"/>
              <w:jc w:val="center"/>
              <w:rPr>
                <w:rFonts w:hint="default" w:ascii="宋体" w:hAnsi="宋体" w:eastAsia="宋体" w:cs="宋体"/>
                <w:kern w:val="0"/>
                <w:sz w:val="24"/>
                <w:szCs w:val="24"/>
                <w:vertAlign w:val="baseline"/>
                <w:lang w:val="en-US" w:eastAsia="zh-CN" w:bidi="ar"/>
              </w:rPr>
            </w:pPr>
            <w:r>
              <w:rPr>
                <w:rFonts w:hint="eastAsia" w:ascii="宋体" w:hAnsi="宋体" w:eastAsia="宋体" w:cs="宋体"/>
                <w:kern w:val="0"/>
                <w:sz w:val="24"/>
                <w:szCs w:val="24"/>
                <w:vertAlign w:val="baseline"/>
                <w:lang w:val="en-US" w:eastAsia="zh-CN" w:bidi="ar"/>
              </w:rPr>
              <w:t>3</w:t>
            </w:r>
          </w:p>
        </w:tc>
        <w:tc>
          <w:tcPr>
            <w:tcW w:w="3344" w:type="dxa"/>
            <w:vAlign w:val="center"/>
          </w:tcPr>
          <w:p>
            <w:pPr>
              <w:spacing w:line="240" w:lineRule="auto"/>
              <w:ind w:firstLine="0"/>
              <w:jc w:val="left"/>
              <w:rPr>
                <w:rFonts w:hint="eastAsia" w:ascii="宋体" w:hAnsi="宋体" w:eastAsia="宋体" w:cs="宋体"/>
                <w:kern w:val="0"/>
                <w:sz w:val="24"/>
                <w:szCs w:val="24"/>
                <w:vertAlign w:val="baseline"/>
                <w:lang w:val="en-US" w:eastAsia="zh-CN" w:bidi="ar"/>
              </w:rPr>
            </w:pPr>
            <w:r>
              <w:rPr>
                <w:rFonts w:hint="eastAsia"/>
                <w:sz w:val="24"/>
                <w:szCs w:val="24"/>
                <w:lang w:val="en-US" w:eastAsia="zh-CN"/>
              </w:rPr>
              <w:t>《制药装备 层析柱通用技术要求》</w:t>
            </w:r>
          </w:p>
        </w:tc>
        <w:tc>
          <w:tcPr>
            <w:tcW w:w="5531" w:type="dxa"/>
            <w:vAlign w:val="center"/>
          </w:tcPr>
          <w:p>
            <w:pPr>
              <w:spacing w:line="240" w:lineRule="auto"/>
              <w:ind w:firstLine="0"/>
              <w:jc w:val="center"/>
              <w:rPr>
                <w:rFonts w:hint="default" w:ascii="宋体" w:hAnsi="宋体" w:eastAsia="宋体" w:cs="宋体"/>
                <w:kern w:val="0"/>
                <w:sz w:val="24"/>
                <w:szCs w:val="24"/>
                <w:vertAlign w:val="baseline"/>
                <w:lang w:val="en-US" w:eastAsia="zh-CN" w:bidi="ar"/>
              </w:rPr>
            </w:pPr>
            <w:r>
              <w:rPr>
                <w:rFonts w:hint="eastAsia" w:ascii="宋体" w:hAnsi="宋体" w:eastAsia="宋体" w:cs="宋体"/>
                <w:kern w:val="0"/>
                <w:sz w:val="24"/>
                <w:szCs w:val="24"/>
                <w:vertAlign w:val="baseline"/>
                <w:lang w:val="en-US" w:eastAsia="zh-CN" w:bidi="ar"/>
              </w:rPr>
              <w:t>无</w:t>
            </w:r>
          </w:p>
        </w:tc>
      </w:tr>
    </w:tbl>
    <w:p>
      <w:pPr>
        <w:rPr>
          <w:rFonts w:hint="default" w:ascii="宋体" w:hAnsi="宋体"/>
          <w:sz w:val="28"/>
          <w:szCs w:val="28"/>
          <w:lang w:val="en-US" w:eastAsia="zh-CN"/>
        </w:rPr>
      </w:pPr>
    </w:p>
    <w:sectPr>
      <w:pgSz w:w="11906" w:h="16838"/>
      <w:pgMar w:top="1134" w:right="1134" w:bottom="85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MTUwNzQzYWM5N2FmZTIyNDM3NWU5NTQ1ZjBkOGUifQ=="/>
  </w:docVars>
  <w:rsids>
    <w:rsidRoot w:val="678146D5"/>
    <w:rsid w:val="00002811"/>
    <w:rsid w:val="000138BE"/>
    <w:rsid w:val="000B0AA9"/>
    <w:rsid w:val="000C15FB"/>
    <w:rsid w:val="00132BAF"/>
    <w:rsid w:val="00181F39"/>
    <w:rsid w:val="001B116F"/>
    <w:rsid w:val="001F0264"/>
    <w:rsid w:val="002779C6"/>
    <w:rsid w:val="002B4563"/>
    <w:rsid w:val="00300E28"/>
    <w:rsid w:val="003E2389"/>
    <w:rsid w:val="004B570C"/>
    <w:rsid w:val="004D7AB9"/>
    <w:rsid w:val="00566DDA"/>
    <w:rsid w:val="0057401A"/>
    <w:rsid w:val="005740FA"/>
    <w:rsid w:val="005E7324"/>
    <w:rsid w:val="005F12EC"/>
    <w:rsid w:val="006530BD"/>
    <w:rsid w:val="00665D14"/>
    <w:rsid w:val="006703CF"/>
    <w:rsid w:val="006F54C3"/>
    <w:rsid w:val="006F7B26"/>
    <w:rsid w:val="007328AE"/>
    <w:rsid w:val="007E5B34"/>
    <w:rsid w:val="008361B0"/>
    <w:rsid w:val="00845BEE"/>
    <w:rsid w:val="00856516"/>
    <w:rsid w:val="00866163"/>
    <w:rsid w:val="008875B2"/>
    <w:rsid w:val="00896BD9"/>
    <w:rsid w:val="00962A6C"/>
    <w:rsid w:val="00A16094"/>
    <w:rsid w:val="00AA42F8"/>
    <w:rsid w:val="00AF2F10"/>
    <w:rsid w:val="00AF6FDB"/>
    <w:rsid w:val="00B37B70"/>
    <w:rsid w:val="00B50A8B"/>
    <w:rsid w:val="00C058EC"/>
    <w:rsid w:val="00C36B8B"/>
    <w:rsid w:val="00C4038F"/>
    <w:rsid w:val="00C54CEF"/>
    <w:rsid w:val="00D37078"/>
    <w:rsid w:val="00D60BC2"/>
    <w:rsid w:val="00E014F8"/>
    <w:rsid w:val="00E74EAE"/>
    <w:rsid w:val="00E95CEA"/>
    <w:rsid w:val="00F50E5B"/>
    <w:rsid w:val="00F518AA"/>
    <w:rsid w:val="010F21B0"/>
    <w:rsid w:val="02747CA0"/>
    <w:rsid w:val="09D771D4"/>
    <w:rsid w:val="209A3C32"/>
    <w:rsid w:val="388407CF"/>
    <w:rsid w:val="3B364442"/>
    <w:rsid w:val="4EA302CD"/>
    <w:rsid w:val="5AE2190C"/>
    <w:rsid w:val="5C31415E"/>
    <w:rsid w:val="5E124032"/>
    <w:rsid w:val="615C0ECA"/>
    <w:rsid w:val="678146D5"/>
    <w:rsid w:val="6A01531E"/>
    <w:rsid w:val="6BCC2386"/>
    <w:rsid w:val="6CBD0715"/>
    <w:rsid w:val="6E83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uiPriority w:val="0"/>
    <w:pPr>
      <w:tabs>
        <w:tab w:val="center" w:pos="4153"/>
        <w:tab w:val="right" w:pos="8306"/>
      </w:tabs>
      <w:snapToGrid w:val="0"/>
      <w:jc w:val="left"/>
    </w:pPr>
    <w:rPr>
      <w:sz w:val="18"/>
      <w:szCs w:val="18"/>
    </w:rPr>
  </w:style>
  <w:style w:type="paragraph" w:styleId="3">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spacing w:line="240" w:lineRule="auto"/>
      <w:ind w:firstLine="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unhideWhenUsed/>
    <w:qFormat/>
    <w:uiPriority w:val="99"/>
    <w:rPr>
      <w:color w:val="800080"/>
      <w:u w:val="single"/>
    </w:rPr>
  </w:style>
  <w:style w:type="character" w:styleId="9">
    <w:name w:val="Hyperlink"/>
    <w:unhideWhenUsed/>
    <w:qFormat/>
    <w:uiPriority w:val="99"/>
    <w:rPr>
      <w:color w:val="0000FF"/>
      <w:u w:val="none"/>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1">
    <w:name w:val="z-窗体顶端 Char"/>
    <w:basedOn w:val="7"/>
    <w:link w:val="10"/>
    <w:semiHidden/>
    <w:uiPriority w:val="99"/>
    <w:rPr>
      <w:rFonts w:ascii="Arial" w:hAnsi="Arial" w:cs="Arial"/>
      <w:vanish/>
      <w:sz w:val="16"/>
      <w:szCs w:val="16"/>
    </w:rPr>
  </w:style>
  <w:style w:type="paragraph" w:customStyle="1" w:styleId="12">
    <w:name w:val="HTML Bottom of Form"/>
    <w:basedOn w:val="1"/>
    <w:next w:val="1"/>
    <w:link w:val="13"/>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13">
    <w:name w:val="z-窗体底端 Char"/>
    <w:basedOn w:val="7"/>
    <w:link w:val="12"/>
    <w:semiHidden/>
    <w:qFormat/>
    <w:uiPriority w:val="99"/>
    <w:rPr>
      <w:rFonts w:ascii="Arial" w:hAnsi="Arial" w:cs="Arial"/>
      <w:vanish/>
      <w:sz w:val="16"/>
      <w:szCs w:val="16"/>
    </w:rPr>
  </w:style>
  <w:style w:type="character" w:customStyle="1" w:styleId="14">
    <w:name w:val="页眉 Char"/>
    <w:basedOn w:val="7"/>
    <w:link w:val="3"/>
    <w:qFormat/>
    <w:uiPriority w:val="0"/>
    <w:rPr>
      <w:kern w:val="2"/>
      <w:sz w:val="18"/>
      <w:szCs w:val="18"/>
    </w:rPr>
  </w:style>
  <w:style w:type="character" w:customStyle="1" w:styleId="15">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188</Words>
  <Characters>260</Characters>
  <Lines>1</Lines>
  <Paragraphs>1</Paragraphs>
  <TotalTime>10</TotalTime>
  <ScaleCrop>false</ScaleCrop>
  <LinksUpToDate>false</LinksUpToDate>
  <CharactersWithSpaces>272</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2017-04-05T05:47:00Z</dcterms:created>
  <dc:creator>dongchunliang-dell</dc:creator>
  <cp:lastModifiedBy> 阿拉蕾</cp:lastModifiedBy>
  <cp:lastPrinted>2023-04-24T07:42:00Z</cp:lastPrinted>
  <dcterms:modified xsi:type="dcterms:W3CDTF">2023-04-25T05:33:10Z</dcterms:modified>
  <dc:title>关于全国制药装备标准化技术委员会中药炮制机械分技术委员会换届及征集委员的通知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8D4D51D7FC8142D4A8C22931EB4E2927</vt:lpwstr>
  </property>
</Properties>
</file>